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Text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 xml:space="preserve">Кредитні рейтинги боргових зобов’язань України </w:t>
      </w:r>
    </w:p>
    <w:p>
      <w:pPr>
        <w:pStyle w:val="Body Text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 xml:space="preserve">станом на </w:t>
      </w:r>
      <w:r>
        <w:rPr>
          <w:b w:val="1"/>
          <w:bCs w:val="1"/>
          <w:rtl w:val="0"/>
          <w:lang w:val="ru-RU"/>
        </w:rPr>
        <w:t>9</w:t>
      </w:r>
      <w:r>
        <w:rPr>
          <w:b w:val="1"/>
          <w:bCs w:val="1"/>
          <w:rtl w:val="0"/>
        </w:rPr>
        <w:t xml:space="preserve"> грудня </w:t>
      </w:r>
      <w:r>
        <w:rPr>
          <w:b w:val="1"/>
          <w:bCs w:val="1"/>
          <w:rtl w:val="0"/>
        </w:rPr>
        <w:t xml:space="preserve">2016 </w:t>
      </w:r>
      <w:r>
        <w:rPr>
          <w:b w:val="1"/>
          <w:bCs w:val="1"/>
          <w:rtl w:val="0"/>
          <w:lang w:val="ru-RU"/>
        </w:rPr>
        <w:t>року</w:t>
      </w:r>
    </w:p>
    <w:p>
      <w:pPr>
        <w:pStyle w:val="Body Text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0"/>
        <w:rPr>
          <w:b w:val="1"/>
          <w:bCs w:val="1"/>
        </w:rPr>
      </w:pPr>
    </w:p>
    <w:tbl>
      <w:tblPr>
        <w:tblW w:w="1036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>
        <w:tblPrEx>
          <w:shd w:val="clear" w:color="auto" w:fill="ced7e7"/>
        </w:tblPrEx>
        <w:trPr>
          <w:trHeight w:val="1679" w:hRule="atLeast"/>
        </w:trPr>
        <w:tc>
          <w:tcPr>
            <w:tcW w:type="dxa" w:w="256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Рейтингове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агентство</w:t>
            </w:r>
          </w:p>
        </w:tc>
        <w:tc>
          <w:tcPr>
            <w:tcW w:type="dxa" w:w="1817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Рейтинг боргових зобов’язань в іноземній валюті</w:t>
            </w:r>
          </w:p>
        </w:tc>
        <w:tc>
          <w:tcPr>
            <w:tcW w:type="dxa" w:w="1817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Рейтинг боргових зобов’язань в національній валюті</w:t>
            </w:r>
          </w:p>
        </w:tc>
        <w:tc>
          <w:tcPr>
            <w:tcW w:type="dxa" w:w="1478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Прогноз</w:t>
            </w:r>
          </w:p>
        </w:tc>
        <w:tc>
          <w:tcPr>
            <w:tcW w:type="dxa" w:w="2693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er"/>
              <w:tabs>
                <w:tab w:val="left" w:pos="708"/>
                <w:tab w:val="left" w:pos="1416"/>
                <w:tab w:val="left" w:pos="2124"/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Дата </w:t>
            </w:r>
          </w:p>
          <w:p>
            <w:pPr>
              <w:pStyle w:val="header"/>
              <w:tabs>
                <w:tab w:val="left" w:pos="708"/>
                <w:tab w:val="left" w:pos="1416"/>
                <w:tab w:val="left" w:pos="2124"/>
                <w:tab w:val="clear" w:pos="4153"/>
                <w:tab w:val="clear" w:pos="830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рейтингової дії </w:t>
            </w:r>
          </w:p>
        </w:tc>
      </w:tr>
      <w:tr>
        <w:tblPrEx>
          <w:shd w:val="clear" w:color="auto" w:fill="ced7e7"/>
        </w:tblPrEx>
        <w:trPr>
          <w:trHeight w:val="3191" w:hRule="atLeast"/>
        </w:trPr>
        <w:tc>
          <w:tcPr>
            <w:tcW w:type="dxa" w:w="256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lock Text"/>
              <w:tabs>
                <w:tab w:val="left" w:pos="708"/>
              </w:tabs>
              <w:ind w:left="0" w:right="0" w:firstLine="0"/>
              <w:jc w:val="center"/>
            </w:pPr>
            <w:r>
              <w:rPr>
                <w:rFonts w:ascii="Times New Roman" w:hAnsi="Times New Roman" w:hint="default"/>
                <w:rtl w:val="0"/>
              </w:rPr>
              <w:t>Довгострокові</w:t>
            </w:r>
          </w:p>
          <w:p>
            <w:pPr>
              <w:pStyle w:val="Block Text"/>
              <w:tabs>
                <w:tab w:val="left" w:pos="708"/>
              </w:tabs>
              <w:ind w:left="0" w:right="0" w:firstLine="0"/>
              <w:jc w:val="center"/>
            </w:pPr>
            <w:r>
              <w:rPr>
                <w:rFonts w:ascii="Times New Roman" w:hAnsi="Times New Roman" w:hint="default"/>
                <w:rtl w:val="0"/>
              </w:rPr>
              <w:t>зобов’язання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Короткострокові зобов’язання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lock Text"/>
              <w:tabs>
                <w:tab w:val="left" w:pos="708"/>
              </w:tabs>
              <w:ind w:left="0" w:right="0" w:firstLine="0"/>
              <w:jc w:val="center"/>
            </w:pPr>
            <w:r>
              <w:rPr>
                <w:rtl w:val="0"/>
              </w:rPr>
              <w:t>Довгострокові</w:t>
            </w:r>
          </w:p>
          <w:p>
            <w:pPr>
              <w:pStyle w:val="Normal.0"/>
              <w:tabs>
                <w:tab w:val="left" w:pos="70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зобов’язання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Короткострокові зобов’язання</w:t>
            </w:r>
          </w:p>
        </w:tc>
        <w:tc>
          <w:tcPr>
            <w:tcW w:type="dxa" w:w="1478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93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40" w:hRule="atLeast"/>
        </w:trPr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de-DE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Fitch Ratings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”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(Fitch)</w:t>
            </w:r>
          </w:p>
        </w:tc>
        <w:tc>
          <w:tcPr>
            <w:tcW w:type="dxa" w:w="90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9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</w:p>
        </w:tc>
        <w:tc>
          <w:tcPr>
            <w:tcW w:type="dxa" w:w="90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</w:p>
        </w:tc>
        <w:tc>
          <w:tcPr>
            <w:tcW w:type="dxa" w:w="9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</w:p>
        </w:tc>
        <w:tc>
          <w:tcPr>
            <w:tcW w:type="dxa" w:w="147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Стабільний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листопада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2016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–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pacing w:val="0"/>
                <w:sz w:val="24"/>
                <w:szCs w:val="24"/>
                <w:rtl w:val="0"/>
              </w:rPr>
              <w:t>підтверджено рейтинг та прогноз</w:t>
            </w:r>
          </w:p>
        </w:tc>
      </w:tr>
      <w:tr>
        <w:tblPrEx>
          <w:shd w:val="clear" w:color="auto" w:fill="ced7e7"/>
        </w:tblPrEx>
        <w:trPr>
          <w:trHeight w:val="2110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de-DE"/>
              </w:rPr>
              <w:t>"Standard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&amp;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Poor's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”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(S&amp;P)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Стабільний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грудня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2016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–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</w:rPr>
              <w:t xml:space="preserve">підтверджено рейтинг та прогноз </w:t>
            </w:r>
          </w:p>
        </w:tc>
      </w:tr>
      <w:tr>
        <w:tblPrEx>
          <w:shd w:val="clear" w:color="auto" w:fill="ced7e7"/>
        </w:tblPrEx>
        <w:trPr>
          <w:trHeight w:val="1972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de-DE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Moody's Investors Service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”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(Moody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s)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Саа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Са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Саа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Стабільний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листопада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2015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–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підвищено рейтинг та змінено прогноз</w:t>
            </w:r>
          </w:p>
        </w:tc>
      </w:tr>
    </w:tbl>
    <w:p>
      <w:pPr>
        <w:pStyle w:val="Body Text 2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0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lock Text">
    <w:name w:val="Block Text"/>
    <w:next w:val="Block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13" w:right="113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